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9C4A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5E919DE">
      <w:pPr>
        <w:pStyle w:val="37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سياسة الإحالات وحفظ الحقوق</w:t>
      </w:r>
    </w:p>
    <w:p w14:paraId="0A9261A6">
      <w:pPr>
        <w:pStyle w:val="37"/>
        <w:spacing w:line="360" w:lineRule="auto"/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2CB8C47E">
      <w:pPr>
        <w:pStyle w:val="37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تحالف الرفاعي وشركاؤه للمحاماة والاستشارات</w:t>
      </w:r>
    </w:p>
    <w:p w14:paraId="4756EF8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D304BD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المادة الأولى: الغرض من السياسة</w:t>
      </w:r>
    </w:p>
    <w:p w14:paraId="70DA2E4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D2D417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تهدف هذه السياسة إلى تنظيم الإحالات المهنية والأعمال والمشروعات والفرص التي تتم من خلال تحالف الرفاعي وشركاؤه للمحاماة والاستشارات، وتحديد حقوق والتزامات الأطراف ذات العلاقة، وبناء منظومة تحقق التوازن بين:</w:t>
      </w:r>
    </w:p>
    <w:p w14:paraId="4C35419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161D7C4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مصلحة العميل.</w:t>
      </w:r>
    </w:p>
    <w:p w14:paraId="219F24C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استقلال المحامي ومقدم الخدمة.</w:t>
      </w:r>
    </w:p>
    <w:p w14:paraId="71522D4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حقوق العضو الذي أنشأ العلاقة أو الفرصة.</w:t>
      </w:r>
    </w:p>
    <w:p w14:paraId="789FB30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حقوق العضو الذي ينفذ العمل.</w:t>
      </w:r>
    </w:p>
    <w:p w14:paraId="21A3040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حقوق شركة الرفاعي وشركاؤه باعتبارها الجهة المؤسسة والمديرة للتحالف.</w:t>
      </w:r>
    </w:p>
    <w:p w14:paraId="05DF6D1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ومصلحة التحالف وسمعته واستدامته.</w:t>
      </w:r>
    </w:p>
    <w:p w14:paraId="06924B2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55AA77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وتقوم السياسة على مبدأ:</w:t>
      </w:r>
    </w:p>
    <w:p w14:paraId="71D7107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2A0753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العميل ليس ملكًا لأحد، ولكن العلاقة المهنية والجهد التجاري والمعلومات والفرص والحقوق التعاقدية المشروعة يجب احترامها وحمايتها.</w:t>
      </w:r>
    </w:p>
    <w:p w14:paraId="3ADA3BD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9D6E98A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الأول</w:t>
      </w:r>
    </w:p>
    <w:p w14:paraId="44CA5C5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244CC7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المبادئ الحاكمة</w:t>
      </w:r>
    </w:p>
    <w:p w14:paraId="4464FC2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12A0E8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الثانية</w:t>
      </w:r>
      <w:r>
        <w:rPr>
          <w:rFonts w:asciiTheme="majorBidi" w:hAnsiTheme="majorBidi" w:cstheme="majorBidi"/>
          <w:sz w:val="28"/>
          <w:szCs w:val="28"/>
          <w:rtl/>
        </w:rPr>
        <w:t>: مصلحة العميل أولًا</w:t>
      </w:r>
    </w:p>
    <w:p w14:paraId="757B366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2E277C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تكون مصلحة العميل المشروعة وجودة الخدمة واستقلال القرار المهني مقدمة على أي مصلحة تجارية ناشئة عن الإحالة.</w:t>
      </w:r>
    </w:p>
    <w:p w14:paraId="1519612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9B13C4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يجوز تفسير أي حكم من أحكام هذه السياسة بما يقيد حق العميل في اختيار مقدم الخدمة أو إنهاء العلاقة معه وفق الأنظمة والعقد المبرم.</w:t>
      </w:r>
    </w:p>
    <w:p w14:paraId="6F618C1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C4724B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الثالثة</w:t>
      </w:r>
      <w:r>
        <w:rPr>
          <w:rFonts w:asciiTheme="majorBidi" w:hAnsiTheme="majorBidi" w:cstheme="majorBidi"/>
          <w:sz w:val="28"/>
          <w:szCs w:val="28"/>
          <w:rtl/>
        </w:rPr>
        <w:t>: استقلال الأطراف</w:t>
      </w:r>
    </w:p>
    <w:p w14:paraId="205877B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CF49AC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تؤدي الإحالة بذاتها إلى إنشاء شراكة أو وكالة أو تضامن أو مسؤولية مشتركة بين شركة الرفاعي وشركاؤه والعضو المحيل والعضو المنفذ.</w:t>
      </w:r>
    </w:p>
    <w:p w14:paraId="4EE2266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4E7DEC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ويظل كل طرف مسؤولًا عن الأعمال التي يقدمها وفق الاتفاقات والأنظمة ذات العلاقة.</w:t>
      </w:r>
    </w:p>
    <w:p w14:paraId="5E59B22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214A82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الرابعة</w:t>
      </w:r>
      <w:r>
        <w:rPr>
          <w:rFonts w:asciiTheme="majorBidi" w:hAnsiTheme="majorBidi" w:cstheme="majorBidi"/>
          <w:sz w:val="28"/>
          <w:szCs w:val="28"/>
          <w:rtl/>
        </w:rPr>
        <w:t>: العلاقة المباشرة مع العميل</w:t>
      </w:r>
    </w:p>
    <w:p w14:paraId="5D83070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6B0855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يجب أن تكون العلاقة المهنية بين العميل ومقدم الخدمة القانونية واضحة ومباشرة، وأن يعرف العميل الجهة المسؤولة عن تقديم الخدمة ونطاق عملها وأتعابها.</w:t>
      </w:r>
    </w:p>
    <w:p w14:paraId="3CF8E5A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38EF93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يجوز استخدام التحالف كوسيط تجاري يفصل المحامي عن موكله أو يؤثر في استقلال العلاقة المهنية بينهما.</w:t>
      </w:r>
    </w:p>
    <w:p w14:paraId="0EFC23C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9F6415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الخامسة</w:t>
      </w:r>
      <w:r>
        <w:rPr>
          <w:rFonts w:asciiTheme="majorBidi" w:hAnsiTheme="majorBidi" w:cstheme="majorBidi"/>
          <w:sz w:val="28"/>
          <w:szCs w:val="28"/>
          <w:rtl/>
        </w:rPr>
        <w:t>: لا إحالة قبل التحقق</w:t>
      </w:r>
    </w:p>
    <w:p w14:paraId="7736A17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5DC544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يجوز البدء في تنفيذ أي إحالة قبل استكمال ما يلزم من:</w:t>
      </w:r>
    </w:p>
    <w:p w14:paraId="7099F4B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71E8C48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التحقق من هوية العميل.</w:t>
      </w:r>
    </w:p>
    <w:p w14:paraId="29F882D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التحقق من تعارض المصالح.</w:t>
      </w:r>
    </w:p>
    <w:p w14:paraId="3DC0666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تحديد نطاق الخدمة.</w:t>
      </w:r>
    </w:p>
    <w:p w14:paraId="192506F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تحديد مقدم الخدمة.</w:t>
      </w:r>
    </w:p>
    <w:p w14:paraId="3C87DB4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تحديد العلاقة التعاقدية.</w:t>
      </w:r>
    </w:p>
    <w:p w14:paraId="42F45EE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تحديد الأتعاب.</w:t>
      </w:r>
    </w:p>
    <w:p w14:paraId="33E9A68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واستيفاء المتطلبات النظامية والمهنية ذات الصلة.</w:t>
      </w:r>
    </w:p>
    <w:p w14:paraId="6B8E6BC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493CD1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5301C56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الثاني</w:t>
      </w:r>
    </w:p>
    <w:p w14:paraId="61BBEA6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11D59F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تعريف الإحالة</w:t>
      </w:r>
    </w:p>
    <w:p w14:paraId="5E11816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09DD4A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السادسة</w:t>
      </w:r>
      <w:r>
        <w:rPr>
          <w:rFonts w:asciiTheme="majorBidi" w:hAnsiTheme="majorBidi" w:cstheme="majorBidi"/>
          <w:sz w:val="28"/>
          <w:szCs w:val="28"/>
          <w:rtl/>
        </w:rPr>
        <w:t>: الإحالة المهنية</w:t>
      </w:r>
    </w:p>
    <w:p w14:paraId="21F43BF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1ACA9F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يقصد بالإحالة قيام الشركة أو أحد أعضاء التحالف بتقديم عميل أو فرصة أو مشروع إلى عضو آخر للاستفادة من خبرته أو تخصصه أو موقعه الجغرافي أو قدرته التشغيلية.</w:t>
      </w:r>
    </w:p>
    <w:p w14:paraId="4801A75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C8E1ED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4DD502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019CE0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43A1B0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27DDEC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السابعة</w:t>
      </w:r>
      <w:r>
        <w:rPr>
          <w:rFonts w:asciiTheme="majorBidi" w:hAnsiTheme="majorBidi" w:cstheme="majorBidi"/>
          <w:sz w:val="28"/>
          <w:szCs w:val="28"/>
          <w:rtl/>
        </w:rPr>
        <w:t>: أنواع الإحالات</w:t>
      </w:r>
    </w:p>
    <w:p w14:paraId="31D7F27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47CF92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تصنف الإحالات إلى:</w:t>
      </w:r>
    </w:p>
    <w:p w14:paraId="0970043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C781450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الإحالة الكاملة:</w:t>
      </w:r>
      <w:r>
        <w:rPr>
          <w:rFonts w:asciiTheme="majorBidi" w:hAnsiTheme="majorBidi" w:cstheme="majorBidi"/>
          <w:sz w:val="28"/>
          <w:szCs w:val="28"/>
          <w:rtl/>
        </w:rPr>
        <w:t xml:space="preserve"> إحالة العميل إلى عضو آخر لتنفيذ العمل بصورة مستقلة.</w:t>
      </w:r>
    </w:p>
    <w:p w14:paraId="55B02D4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الإحالة المشتركة:</w:t>
      </w:r>
      <w:r>
        <w:rPr>
          <w:rFonts w:asciiTheme="majorBidi" w:hAnsiTheme="majorBidi" w:cstheme="majorBidi"/>
          <w:sz w:val="28"/>
          <w:szCs w:val="28"/>
          <w:rtl/>
        </w:rPr>
        <w:t xml:space="preserve"> اشتراك العضو المحيل والعضو المنفذ في تقديم الخدمة.</w:t>
      </w:r>
    </w:p>
    <w:p w14:paraId="62C521E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إحالة التخصص:</w:t>
      </w:r>
      <w:r>
        <w:rPr>
          <w:rFonts w:asciiTheme="majorBidi" w:hAnsiTheme="majorBidi" w:cstheme="majorBidi"/>
          <w:sz w:val="28"/>
          <w:szCs w:val="28"/>
          <w:rtl/>
        </w:rPr>
        <w:t xml:space="preserve"> إحالة جزء محدد من العمل إلى متخصص داخل التحالف.</w:t>
      </w:r>
    </w:p>
    <w:p w14:paraId="3FB28E7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الإحالة الجغرافية:</w:t>
      </w:r>
      <w:r>
        <w:rPr>
          <w:rFonts w:asciiTheme="majorBidi" w:hAnsiTheme="majorBidi" w:cstheme="majorBidi"/>
          <w:sz w:val="28"/>
          <w:szCs w:val="28"/>
          <w:rtl/>
        </w:rPr>
        <w:t xml:space="preserve"> الاستعانة بعضو بسبب وجوده أو قدرته في منطقة أو دولة معينة.</w:t>
      </w:r>
    </w:p>
    <w:p w14:paraId="400FFBC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إحالة القدرة التشغيلية:</w:t>
      </w:r>
      <w:r>
        <w:rPr>
          <w:rFonts w:asciiTheme="majorBidi" w:hAnsiTheme="majorBidi" w:cstheme="majorBidi"/>
          <w:sz w:val="28"/>
          <w:szCs w:val="28"/>
          <w:rtl/>
        </w:rPr>
        <w:t xml:space="preserve"> إسناد العمل بسبب حاجة المشروع إلى موارد إضافية.</w:t>
      </w:r>
    </w:p>
    <w:p w14:paraId="403B53B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الإحالة الدولية:</w:t>
      </w:r>
      <w:r>
        <w:rPr>
          <w:rFonts w:asciiTheme="majorBidi" w:hAnsiTheme="majorBidi" w:cstheme="majorBidi"/>
          <w:sz w:val="28"/>
          <w:szCs w:val="28"/>
          <w:rtl/>
        </w:rPr>
        <w:t xml:space="preserve"> إحالة العمل إلى عضو أو شريك مهني خارج المملكة.</w:t>
      </w:r>
    </w:p>
    <w:p w14:paraId="3F0688F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فرصة تطوير أعمال:</w:t>
      </w:r>
      <w:r>
        <w:rPr>
          <w:rFonts w:asciiTheme="majorBidi" w:hAnsiTheme="majorBidi" w:cstheme="majorBidi"/>
          <w:sz w:val="28"/>
          <w:szCs w:val="28"/>
          <w:rtl/>
        </w:rPr>
        <w:t xml:space="preserve"> فرصة تجارية أو منافسة أو مشروع تم اكتشافه من خلال الشركة أو أحد الأعضاء ولم يتحول بعد إلى تكليف مهني.</w:t>
      </w:r>
    </w:p>
    <w:p w14:paraId="0FE7180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F7AB98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22B4715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الثالث</w:t>
      </w:r>
    </w:p>
    <w:p w14:paraId="2152B37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CBBB6F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تسجيل الإحالة</w:t>
      </w:r>
    </w:p>
    <w:p w14:paraId="486720A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75CC1D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الثامنة</w:t>
      </w:r>
      <w:r>
        <w:rPr>
          <w:rFonts w:asciiTheme="majorBidi" w:hAnsiTheme="majorBidi" w:cstheme="majorBidi"/>
          <w:sz w:val="28"/>
          <w:szCs w:val="28"/>
          <w:rtl/>
        </w:rPr>
        <w:t>: سجل الإحالات</w:t>
      </w:r>
    </w:p>
    <w:p w14:paraId="7C855C1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32C1D9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ينشئ التحالف سجلًا مركزيًا للإحالات، وتوثق فيه كل إحالة جوهرية.</w:t>
      </w:r>
    </w:p>
    <w:p w14:paraId="6E787F0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FAE007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ويشمل السجل:</w:t>
      </w:r>
    </w:p>
    <w:p w14:paraId="7154B5A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8E112BD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رقم الإحالة.</w:t>
      </w:r>
    </w:p>
    <w:p w14:paraId="5D98B63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تاريخها.</w:t>
      </w:r>
    </w:p>
    <w:p w14:paraId="46929EB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مصدر الإحالة.</w:t>
      </w:r>
    </w:p>
    <w:p w14:paraId="01DEAFD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اسم العضو المحيل.</w:t>
      </w:r>
    </w:p>
    <w:p w14:paraId="570B8B4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اسم العضو المنفذ.</w:t>
      </w:r>
    </w:p>
    <w:p w14:paraId="70EB6FB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نوع الخدمة.</w:t>
      </w:r>
    </w:p>
    <w:p w14:paraId="1329F4E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حالة تعارض المصالح.</w:t>
      </w:r>
    </w:p>
    <w:p w14:paraId="4BA4528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تاريخ إرسال الإحالة.</w:t>
      </w:r>
    </w:p>
    <w:p w14:paraId="79FDCE8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تاريخ قبولها أو رفضها.</w:t>
      </w:r>
    </w:p>
    <w:p w14:paraId="18E88BE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حالة التعاقد.</w:t>
      </w:r>
    </w:p>
    <w:p w14:paraId="2C4AD5D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حالة التنفيذ.</w:t>
      </w:r>
    </w:p>
    <w:p w14:paraId="4DFA34D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وحالة إغلاق الإحالة.</w:t>
      </w:r>
    </w:p>
    <w:p w14:paraId="1CF621F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982550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التاسعة</w:t>
      </w:r>
      <w:r>
        <w:rPr>
          <w:rFonts w:asciiTheme="majorBidi" w:hAnsiTheme="majorBidi" w:cstheme="majorBidi"/>
          <w:sz w:val="28"/>
          <w:szCs w:val="28"/>
          <w:rtl/>
        </w:rPr>
        <w:t>: متى تثبت الإحالة؟</w:t>
      </w:r>
    </w:p>
    <w:p w14:paraId="0803D16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584D4D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يكفي مجرد معرفة الطرف بالعميل لإثبات حق في إحالة.</w:t>
      </w:r>
    </w:p>
    <w:p w14:paraId="23E67BC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C2726D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وتثبت الإحالة عندما يستطيع الطرف المحيل إثبات مساهمته الجوهرية والمباشرة في إنشاء الفرصة أو تقديم العميل إلى الطرف المنفذ، ويتم تسجيلها وفق النظام المعتمد.</w:t>
      </w:r>
    </w:p>
    <w:p w14:paraId="6509934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B647CE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العاشرة</w:t>
      </w:r>
      <w:r>
        <w:rPr>
          <w:rFonts w:asciiTheme="majorBidi" w:hAnsiTheme="majorBidi" w:cstheme="majorBidi"/>
          <w:sz w:val="28"/>
          <w:szCs w:val="28"/>
          <w:rtl/>
        </w:rPr>
        <w:t>: أولوية التسجيل</w:t>
      </w:r>
    </w:p>
    <w:p w14:paraId="1917E5B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4D52BE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عند وجود أكثر من مطالبة بمصدر الإحالة، ينظر إلى:</w:t>
      </w:r>
    </w:p>
    <w:p w14:paraId="4101DEC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3BF64D8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العلاقة السابقة بالعميل.</w:t>
      </w:r>
    </w:p>
    <w:p w14:paraId="208C8C3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والتواصل الفعلي.</w:t>
      </w:r>
    </w:p>
    <w:p w14:paraId="4AECA48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والدور السببي في توليد الفرصة.</w:t>
      </w:r>
    </w:p>
    <w:p w14:paraId="736FA00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والتسجيل في النظام.</w:t>
      </w:r>
    </w:p>
    <w:p w14:paraId="1C5A60F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والمستندات والمراسلات المؤيدة.</w:t>
      </w:r>
    </w:p>
    <w:p w14:paraId="364F872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تكون أسبقية التسجيل وحدها حاسمة إذا ثبت خلاف الواقع.</w:t>
      </w:r>
    </w:p>
    <w:p w14:paraId="24013E7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FBC308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19DDB05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الرابع</w:t>
      </w:r>
    </w:p>
    <w:p w14:paraId="5FE828F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878062F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اختيار العضو المنفذ</w:t>
      </w:r>
    </w:p>
    <w:p w14:paraId="5F92285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52287B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الحادية عشرة</w:t>
      </w:r>
      <w:r>
        <w:rPr>
          <w:rFonts w:asciiTheme="majorBidi" w:hAnsiTheme="majorBidi" w:cstheme="majorBidi"/>
          <w:sz w:val="28"/>
          <w:szCs w:val="28"/>
          <w:rtl/>
        </w:rPr>
        <w:t>: معيار الاختيار</w:t>
      </w:r>
    </w:p>
    <w:p w14:paraId="18BC755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0EE042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توزع الإحالات على أساس المجاملة أو الأقدمية.</w:t>
      </w:r>
    </w:p>
    <w:p w14:paraId="1622814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C47C1F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CB1297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72936D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7D8ECB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4C60EE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ويكون الاختيار بناءً على:</w:t>
      </w:r>
    </w:p>
    <w:p w14:paraId="7D35AD4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53CE729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التخصص.</w:t>
      </w:r>
    </w:p>
    <w:p w14:paraId="0C7CB67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الخبرة.</w:t>
      </w:r>
    </w:p>
    <w:p w14:paraId="27717B6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الجودة.</w:t>
      </w:r>
    </w:p>
    <w:p w14:paraId="4798F04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تعارض المصالح.</w:t>
      </w:r>
    </w:p>
    <w:p w14:paraId="5146619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القدرة التشغيلية.</w:t>
      </w:r>
    </w:p>
    <w:p w14:paraId="141A54C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الموقع الجغرافي.</w:t>
      </w:r>
    </w:p>
    <w:p w14:paraId="5133A40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سرعة الاستجابة.</w:t>
      </w:r>
    </w:p>
    <w:p w14:paraId="452931F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سجل الأداء السابق.</w:t>
      </w:r>
    </w:p>
    <w:p w14:paraId="586E566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رضا العملاء.</w:t>
      </w:r>
    </w:p>
    <w:p w14:paraId="1BF665F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وطبيعة العلاقة مع العميل.</w:t>
      </w:r>
    </w:p>
    <w:p w14:paraId="67DA95A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7ACCAB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الثانية عشرة</w:t>
      </w:r>
      <w:r>
        <w:rPr>
          <w:rFonts w:asciiTheme="majorBidi" w:hAnsiTheme="majorBidi" w:cstheme="majorBidi"/>
          <w:sz w:val="28"/>
          <w:szCs w:val="28"/>
          <w:rtl/>
        </w:rPr>
        <w:t>: لا حق مكتسب في الإحالات</w:t>
      </w:r>
    </w:p>
    <w:p w14:paraId="4AE8AEA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B81526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تمنح العضوية أي عضو حقًا مضمونًا في عدد أو قيمة معينة من الإحالات.</w:t>
      </w:r>
    </w:p>
    <w:p w14:paraId="0B42039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E8FB19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كما لا يلتزم التحالف بالتوزيع المتساوي للأعمال.</w:t>
      </w:r>
    </w:p>
    <w:p w14:paraId="699C8E2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6062CB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الإحالة تذهب إلى العضو الأنسب للعمل، لا إلى العضو الذي ينتظر دوره.</w:t>
      </w:r>
    </w:p>
    <w:p w14:paraId="25EEF57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DB229D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6FBAC05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الخامس</w:t>
      </w:r>
    </w:p>
    <w:p w14:paraId="0002F4E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C7A7839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قبول الإحالة</w:t>
      </w:r>
    </w:p>
    <w:p w14:paraId="5162D39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75B0D1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الثالثة عشرة</w:t>
      </w:r>
      <w:r>
        <w:rPr>
          <w:rFonts w:asciiTheme="majorBidi" w:hAnsiTheme="majorBidi" w:cstheme="majorBidi"/>
          <w:sz w:val="28"/>
          <w:szCs w:val="28"/>
          <w:rtl/>
        </w:rPr>
        <w:t>: مهلة الاستجابة</w:t>
      </w:r>
    </w:p>
    <w:p w14:paraId="5B12A4B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545ED8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يحدد التحالف مستوى خدمة للإحالات بحسب طبيعتها.</w:t>
      </w:r>
    </w:p>
    <w:p w14:paraId="16B52C5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F73656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وعلى العضو عند استلام الإحالة أن يقرر خلال المدة المحددة:</w:t>
      </w:r>
    </w:p>
    <w:p w14:paraId="490682D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A06693F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القبول.</w:t>
      </w:r>
    </w:p>
    <w:p w14:paraId="5300687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الرفض.</w:t>
      </w:r>
    </w:p>
    <w:p w14:paraId="51B430C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طلب معلومات إضافية.</w:t>
      </w:r>
    </w:p>
    <w:p w14:paraId="08C0788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أو الإفصاح عن وجود تعارض محتمل.</w:t>
      </w:r>
    </w:p>
    <w:p w14:paraId="50B5AB4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4781DC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الرابعة عشرة</w:t>
      </w:r>
      <w:r>
        <w:rPr>
          <w:rFonts w:asciiTheme="majorBidi" w:hAnsiTheme="majorBidi" w:cstheme="majorBidi"/>
          <w:sz w:val="28"/>
          <w:szCs w:val="28"/>
          <w:rtl/>
        </w:rPr>
        <w:t>: رفض الإحالة</w:t>
      </w:r>
    </w:p>
    <w:p w14:paraId="6F1B3F7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35ED92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يجوز للعضو رفض الإحالة دون أن يعد ذلك مخالفة، إذا كان الرفض قائمًا على سبب مهني أو تشغيلي مشروع.</w:t>
      </w:r>
    </w:p>
    <w:p w14:paraId="68BE737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D61113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أما تكرار عدم الاستجابة أو قبول الأعمال ثم عدم تنفيذها بالمستوى المطلوب فيدخل ضمن تقييم العضوية.</w:t>
      </w:r>
    </w:p>
    <w:p w14:paraId="3FDF766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C834DC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44AA879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السادس</w:t>
      </w:r>
    </w:p>
    <w:p w14:paraId="7F2E0F1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506874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حماية العلاقة المهنية</w:t>
      </w:r>
    </w:p>
    <w:p w14:paraId="067F999D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834DD1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الخامسة عشرة</w:t>
      </w:r>
      <w:r>
        <w:rPr>
          <w:rFonts w:asciiTheme="majorBidi" w:hAnsiTheme="majorBidi" w:cstheme="majorBidi"/>
          <w:sz w:val="28"/>
          <w:szCs w:val="28"/>
          <w:rtl/>
        </w:rPr>
        <w:t>: مفهوم حماية العلاقة</w:t>
      </w:r>
    </w:p>
    <w:p w14:paraId="4F11EED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E050FF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تهدف حماية العلاقة إلى منع استغلال الثقة والمعلومات والفرص التي نشأت من خلال التحالف للإضرار المتعمد بمصالح الطرف الذي أنشأ العلاقة.</w:t>
      </w:r>
    </w:p>
    <w:p w14:paraId="234155D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C87B38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يقصد بها تملك العميل أو منع العميل من حرية الاختيار.</w:t>
      </w:r>
    </w:p>
    <w:p w14:paraId="1CFE733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89701E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السادسة عشرة</w:t>
      </w:r>
      <w:r>
        <w:rPr>
          <w:rFonts w:asciiTheme="majorBidi" w:hAnsiTheme="majorBidi" w:cstheme="majorBidi"/>
          <w:sz w:val="28"/>
          <w:szCs w:val="28"/>
          <w:rtl/>
        </w:rPr>
        <w:t>: عدم الالتفاف</w:t>
      </w:r>
    </w:p>
    <w:p w14:paraId="0430337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8321E9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يجوز للعضو الذي تلقى إحالة أن يستخدم المعلومات أو العلاقة الناتجة عنها بقصد تجاوز الطرف المحيل والاستحواذ على فرصة محددة كان الطرف المحيل سببًا مباشرًا في نشأتها.</w:t>
      </w:r>
    </w:p>
    <w:p w14:paraId="45CC449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8706ED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السابعة عشرة</w:t>
      </w:r>
      <w:r>
        <w:rPr>
          <w:rFonts w:asciiTheme="majorBidi" w:hAnsiTheme="majorBidi" w:cstheme="majorBidi"/>
          <w:sz w:val="28"/>
          <w:szCs w:val="28"/>
          <w:rtl/>
        </w:rPr>
        <w:t>: الخدمات الإضافية</w:t>
      </w:r>
    </w:p>
    <w:p w14:paraId="1C58C5A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4A2B30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إذا طلب العميل من العضو المنفذ خدمة جديدة خارج نطاق الإحالة، فيراعى:</w:t>
      </w:r>
    </w:p>
    <w:p w14:paraId="40BB62A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E96DC76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حق العميل في الاختيار.</w:t>
      </w:r>
    </w:p>
    <w:p w14:paraId="2C94809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طبيعة العلاقة السابقة</w:t>
      </w:r>
      <w:r>
        <w:rPr>
          <w:rFonts w:asciiTheme="majorBidi" w:hAnsiTheme="majorBidi" w:cstheme="majorBidi"/>
          <w:sz w:val="28"/>
          <w:szCs w:val="28"/>
          <w:rtl/>
        </w:rPr>
        <w:t>.</w:t>
      </w:r>
    </w:p>
    <w:p w14:paraId="5817210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مصدر الفرصة الجديدة.</w:t>
      </w:r>
    </w:p>
    <w:p w14:paraId="0A5A545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التزامات السرية.</w:t>
      </w:r>
    </w:p>
    <w:p w14:paraId="46628F2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وتوثيق الترتيب الجديد بشفافية.</w:t>
      </w:r>
    </w:p>
    <w:p w14:paraId="0CA671A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يفترض تلقائيًا أن كل عمل مستقبلي للعميل يعود إلى العضو المحيل.</w:t>
      </w:r>
    </w:p>
    <w:p w14:paraId="68625E1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0C09D6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الثامنة عشرة</w:t>
      </w:r>
      <w:r>
        <w:rPr>
          <w:rFonts w:asciiTheme="majorBidi" w:hAnsiTheme="majorBidi" w:cstheme="majorBidi"/>
          <w:sz w:val="28"/>
          <w:szCs w:val="28"/>
          <w:rtl/>
        </w:rPr>
        <w:t>: العميل السابق للعضو</w:t>
      </w:r>
    </w:p>
    <w:p w14:paraId="18644F3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B3FCB0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إذا كان للعضو المنفذ علاقة مهنية موثقة مع العميل قبل الإحالة، فلا تنشأ للطرف المحيل حقوق على تلك العلاقة السابقة لمجرد وقوع إحالة لاحقة.</w:t>
      </w:r>
    </w:p>
    <w:p w14:paraId="395D4B9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B29136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ويجب الإفصاح عن العلاقة السابقة عند تسجيل الإحالة.</w:t>
      </w:r>
    </w:p>
    <w:p w14:paraId="01DB325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125E84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التاسعة عشرة</w:t>
      </w:r>
      <w:r>
        <w:rPr>
          <w:rFonts w:asciiTheme="majorBidi" w:hAnsiTheme="majorBidi" w:cstheme="majorBidi"/>
          <w:sz w:val="28"/>
          <w:szCs w:val="28"/>
          <w:rtl/>
        </w:rPr>
        <w:t>: العميل المشترك</w:t>
      </w:r>
    </w:p>
    <w:p w14:paraId="364BBA2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230CE3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إذا ثبت أن العميل كانت له علاقة مستقلة مع أكثر من عضو قبل الإحالة، فلا يجوز لأي عضو ادعاء ملكية حصرية للعلاقة.</w:t>
      </w:r>
    </w:p>
    <w:p w14:paraId="75641DB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34EA0F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وتحدد الحقوق على مستوى العمل أو الفرصة المحددة وليس على مستوى العميل كله.</w:t>
      </w:r>
    </w:p>
    <w:p w14:paraId="7898F3D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F1C9D3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269289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E4FA1D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ECEA9D7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السابع</w:t>
      </w:r>
    </w:p>
    <w:p w14:paraId="79565BF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1132226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حماية حقوق شركة الرفاعي وشركاؤه</w:t>
      </w:r>
    </w:p>
    <w:p w14:paraId="5611B26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FF5951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العشرون</w:t>
      </w:r>
      <w:r>
        <w:rPr>
          <w:rFonts w:asciiTheme="majorBidi" w:hAnsiTheme="majorBidi" w:cstheme="majorBidi"/>
          <w:sz w:val="28"/>
          <w:szCs w:val="28"/>
          <w:rtl/>
        </w:rPr>
        <w:t>: الفرص التي تولدها الشركة</w:t>
      </w:r>
    </w:p>
    <w:p w14:paraId="0B64CAA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4C0217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تعد الفرصة مولدة من خلال شركة الرفاعي وشركاؤه إذا كانت ناشئة بصورة جوهرية عن:</w:t>
      </w:r>
    </w:p>
    <w:p w14:paraId="49D1C60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4746C77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علاقة تجارية للشركة.</w:t>
      </w:r>
    </w:p>
    <w:p w14:paraId="1171E42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عميل للشركة.</w:t>
      </w:r>
    </w:p>
    <w:p w14:paraId="594B6F1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جهود تطوير الأعمال التي قامت بها الشركة.</w:t>
      </w:r>
    </w:p>
    <w:p w14:paraId="3DF25A1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منصات التحالف التي تديرها الشركة.</w:t>
      </w:r>
    </w:p>
    <w:p w14:paraId="1576104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حملة أو فعالية أو محتوى مولته الشركة.</w:t>
      </w:r>
    </w:p>
    <w:p w14:paraId="6D5C107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مناقصة أو مشروع استقطبته الشركة.</w:t>
      </w:r>
    </w:p>
    <w:p w14:paraId="7FEFC14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أو علاقة استراتيجية بنتها الشركة.</w:t>
      </w:r>
    </w:p>
    <w:p w14:paraId="797D9B7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ويتم توثيق ذلك في سجل الإحالة.</w:t>
      </w:r>
    </w:p>
    <w:p w14:paraId="62C241A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15D95A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المادة الحادية والعشرون: عدم تحويل قاعدة العملاء</w:t>
      </w:r>
    </w:p>
    <w:p w14:paraId="0E424C4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07442B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يجوز للعضو استخدام عضويته للوصول إلى قاعدة عملاء الشركة أو بياناتها أو علاقاتها التجارية لأغراض مستقلة غير مصرح بها.</w:t>
      </w:r>
    </w:p>
    <w:p w14:paraId="2731206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2B5F8A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كما لا يجوز نسخ أو استخراج أو الاحتفاظ بقوائم العملاء أو بيانات الفرص أو معلومات تطوير الأعمال بعد انتهاء الغرض الذي أتيح الوصول إليها من أجله.</w:t>
      </w:r>
    </w:p>
    <w:p w14:paraId="3A10C63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0919BA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المادة الثانية والعشرون: التواصل مع عميل الشركة</w:t>
      </w:r>
    </w:p>
    <w:p w14:paraId="5D0E184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0C76E1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إذا كانت الشركة هي صاحبة العلاقة الأصلية مع العميل وتمت الاستعانة بعضو متخصص لتنفيذ جزء من العمل، فيحدد قبل البدء:</w:t>
      </w:r>
    </w:p>
    <w:p w14:paraId="7DD6FE3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B4132F5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من يدير العلاقة.</w:t>
      </w:r>
    </w:p>
    <w:p w14:paraId="3F4CDE2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ومن يتواصل مع العميل.</w:t>
      </w:r>
    </w:p>
    <w:p w14:paraId="02F2A56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ومن يصدر العرض.</w:t>
      </w:r>
    </w:p>
    <w:p w14:paraId="31BF4AB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ومن يتعاقد.</w:t>
      </w:r>
    </w:p>
    <w:p w14:paraId="12A2051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ومن يصدر الفاتورة.</w:t>
      </w:r>
    </w:p>
    <w:p w14:paraId="6CAAB73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ومن يتحمل المسؤولية عن كل جزء من الخدمة.</w:t>
      </w:r>
    </w:p>
    <w:p w14:paraId="2166281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يجوز افتراض أي من ذلك دون توثيق.</w:t>
      </w:r>
    </w:p>
    <w:p w14:paraId="671DEAB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3CD8DB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FC2F242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الثامن</w:t>
      </w:r>
    </w:p>
    <w:p w14:paraId="74D4CF1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318AEE5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المقابل المالي</w:t>
      </w:r>
    </w:p>
    <w:p w14:paraId="04FA5A7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36C4CF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الثالثة والعشرون</w:t>
      </w:r>
      <w:r>
        <w:rPr>
          <w:rFonts w:asciiTheme="majorBidi" w:hAnsiTheme="majorBidi" w:cstheme="majorBidi"/>
          <w:sz w:val="28"/>
          <w:szCs w:val="28"/>
          <w:rtl/>
        </w:rPr>
        <w:t>: الأصل</w:t>
      </w:r>
    </w:p>
    <w:p w14:paraId="3CD13DC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23BCEE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الإحالة المهنية لا تنشئ بذاتها استحقاقًا ماليًا.</w:t>
      </w:r>
    </w:p>
    <w:p w14:paraId="0B7DB5C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0B2A9A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يستحق أي طرف عمولة أو نسبة أو مقابلًا لمجرد تقديم العميل إلا إذا كان هذا المقابل جائزًا نظامًا ومهنيًا، وتم الاتفاق عليه كتابة وفق الضوابط المعتمدة.</w:t>
      </w:r>
    </w:p>
    <w:p w14:paraId="1122F47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50829E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المادة الرابعة والعشرون: التحقق النظامي</w:t>
      </w:r>
    </w:p>
    <w:p w14:paraId="253C6C1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A0C95A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قبل اعتماد أي مقابل مرتبط بالإحالة يجب التحقق من:</w:t>
      </w:r>
    </w:p>
    <w:p w14:paraId="6FD566C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F35463C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صفة الأطراف.</w:t>
      </w:r>
    </w:p>
    <w:p w14:paraId="09D41D7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طبيعة الخدمة.</w:t>
      </w:r>
    </w:p>
    <w:p w14:paraId="297B953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مصدر المقابل.</w:t>
      </w:r>
    </w:p>
    <w:p w14:paraId="0517DB7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علاقة كل طرف بالعميل.</w:t>
      </w:r>
    </w:p>
    <w:p w14:paraId="7F4B031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موافقة العميل عندما تكون مطلوبة.</w:t>
      </w:r>
    </w:p>
    <w:p w14:paraId="7BC2CFF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عدم التأثير في استقلال المحامي.</w:t>
      </w:r>
    </w:p>
    <w:p w14:paraId="7BB20B2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وعدم تحول الترتيب إلى سمسرة في الخدمات المهنية أو ممارسة محظورة.</w:t>
      </w:r>
    </w:p>
    <w:p w14:paraId="689180D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10800C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الخامسة والعشرون</w:t>
      </w:r>
      <w:r>
        <w:rPr>
          <w:rFonts w:asciiTheme="majorBidi" w:hAnsiTheme="majorBidi" w:cstheme="majorBidi"/>
          <w:sz w:val="28"/>
          <w:szCs w:val="28"/>
          <w:rtl/>
        </w:rPr>
        <w:t>: العمل المشترك</w:t>
      </w:r>
    </w:p>
    <w:p w14:paraId="1B13DD1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41597A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إذا شارك أكثر من عضو فعليًا في تنفيذ الخدمة، فلا يعامل نصيب كل منهم باعتباره مجرد «عمولة إحالة».</w:t>
      </w:r>
    </w:p>
    <w:p w14:paraId="2B684C9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B4E418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بل يوثق نطاق العمل الفعلي لكل طرف، ومسؤوليته، وآلية احتساب المقابل المستحق له.</w:t>
      </w:r>
    </w:p>
    <w:p w14:paraId="64348C4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EF5FDB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السادسة والعشرون</w:t>
      </w:r>
      <w:r>
        <w:rPr>
          <w:rFonts w:asciiTheme="majorBidi" w:hAnsiTheme="majorBidi" w:cstheme="majorBidi"/>
          <w:sz w:val="28"/>
          <w:szCs w:val="28"/>
          <w:rtl/>
        </w:rPr>
        <w:t>: أساس الاستحقاق</w:t>
      </w:r>
    </w:p>
    <w:p w14:paraId="4E126C3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3CDFF3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عند جواز وجود مقابل مالي، يجب أن تحدد الوثيقة الخاصة بالإحالة:</w:t>
      </w:r>
    </w:p>
    <w:p w14:paraId="00C522F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24CE0C3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أساس الاستحقاق.</w:t>
      </w:r>
    </w:p>
    <w:p w14:paraId="3A5780F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قيمته أو طريقة احتسابه.</w:t>
      </w:r>
    </w:p>
    <w:p w14:paraId="49FC562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هل يرتبط بالتعاقد أم بالتحصيل.</w:t>
      </w:r>
    </w:p>
    <w:p w14:paraId="70830E9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المصروفات المستبعدة.</w:t>
      </w:r>
    </w:p>
    <w:p w14:paraId="6ED43FB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الضرائب.</w:t>
      </w:r>
    </w:p>
    <w:p w14:paraId="5F9DA04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المرتجعات.</w:t>
      </w:r>
    </w:p>
    <w:p w14:paraId="3D1BB32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التسويات.</w:t>
      </w:r>
    </w:p>
    <w:p w14:paraId="6AB5428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والحالات التي يسقط فيها الاستحقاق.</w:t>
      </w:r>
    </w:p>
    <w:p w14:paraId="42AF5E7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CC7D54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المادة السابعة والعشرون: التحصيل</w:t>
      </w:r>
    </w:p>
    <w:p w14:paraId="794E84D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44A5FA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يعد المبلغ مستحقًا للتوزيع قبل تحصيله فعليًا من العميل، ما لم يتفق كتابة على خلاف ذلك.</w:t>
      </w:r>
    </w:p>
    <w:p w14:paraId="4445658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556068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يتحمل الطرف الذي لم يحصل من العميل التزامًا بتمويل حصة طرف آخر من موارده الخاصة إلا بموجب اتفاق صريح.</w:t>
      </w:r>
    </w:p>
    <w:p w14:paraId="4044376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D443CA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93F849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8C7C67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DD7A623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التاسع</w:t>
      </w:r>
    </w:p>
    <w:p w14:paraId="050D740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029900D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الأعمال المتكررة</w:t>
      </w:r>
    </w:p>
    <w:p w14:paraId="05883C8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687FAE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الثامنة والعشرون</w:t>
      </w:r>
      <w:r>
        <w:rPr>
          <w:rFonts w:asciiTheme="majorBidi" w:hAnsiTheme="majorBidi" w:cstheme="majorBidi"/>
          <w:sz w:val="28"/>
          <w:szCs w:val="28"/>
          <w:rtl/>
        </w:rPr>
        <w:t>: الأعمال اللاحقة</w:t>
      </w:r>
    </w:p>
    <w:p w14:paraId="39B1A8F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FACE4C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تمتد الحقوق المتعلقة بإحالة معينة إلى جميع الأعمال المستقبلية للعميل بصورة غير محدودة.</w:t>
      </w:r>
    </w:p>
    <w:p w14:paraId="56D16B3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B0B6E1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وتحدد وثيقة الإحالة – عند الحاجة – نطاق الأعمال اللاحقة التي ترتبط مباشرة بالفرصة الأصلية.</w:t>
      </w:r>
    </w:p>
    <w:p w14:paraId="408BDA1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039E3B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التاسعة والعشرون</w:t>
      </w:r>
      <w:r>
        <w:rPr>
          <w:rFonts w:asciiTheme="majorBidi" w:hAnsiTheme="majorBidi" w:cstheme="majorBidi"/>
          <w:sz w:val="28"/>
          <w:szCs w:val="28"/>
          <w:rtl/>
        </w:rPr>
        <w:t>: المدة</w:t>
      </w:r>
    </w:p>
    <w:p w14:paraId="57E0E08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911A19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إذا تقررت حماية تجارية للفرصة بعد انتهاء العمل الأول، فيجب أن تكون محددة المدة والنطاق ومتناسبة مع المصلحة المشروعة المراد حمايتها.</w:t>
      </w:r>
    </w:p>
    <w:p w14:paraId="6470C07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494B8A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تعتمد قيود مفتوحة أو دائمة على العلاقة مع العميل.</w:t>
      </w:r>
    </w:p>
    <w:p w14:paraId="687C983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E6B1E1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D23956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7B773B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E6D5EBF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العاشر</w:t>
      </w:r>
    </w:p>
    <w:p w14:paraId="74D8A6DE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68678A0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المشروعات المشتركة</w:t>
      </w:r>
    </w:p>
    <w:p w14:paraId="5FCE743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E4CE62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الثلاثون</w:t>
      </w:r>
      <w:r>
        <w:rPr>
          <w:rFonts w:asciiTheme="majorBidi" w:hAnsiTheme="majorBidi" w:cstheme="majorBidi"/>
          <w:sz w:val="28"/>
          <w:szCs w:val="28"/>
          <w:rtl/>
        </w:rPr>
        <w:t>: اتفاق المشروع</w:t>
      </w:r>
    </w:p>
    <w:p w14:paraId="37272CC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4EDC5B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إذا اشترك عضوان أو أكثر في مشروع واحد، فيعد اتفاق مشروع مستقل يحدد:</w:t>
      </w:r>
    </w:p>
    <w:p w14:paraId="60C75EF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8EACE93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نطاق كل عضو.</w:t>
      </w:r>
    </w:p>
    <w:p w14:paraId="2303AB2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قائد المشروع.</w:t>
      </w:r>
    </w:p>
    <w:p w14:paraId="5ECACC0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المسؤول أمام العميل.</w:t>
      </w:r>
    </w:p>
    <w:p w14:paraId="25019A2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الأتعاب.</w:t>
      </w:r>
    </w:p>
    <w:p w14:paraId="4983CF2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توزيع العمل.</w:t>
      </w:r>
    </w:p>
    <w:p w14:paraId="60AF67E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توزيع العوائد.</w:t>
      </w:r>
    </w:p>
    <w:p w14:paraId="44320D7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المصروفات.</w:t>
      </w:r>
    </w:p>
    <w:p w14:paraId="4F3B746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الفوترة.</w:t>
      </w:r>
    </w:p>
    <w:p w14:paraId="36EE96D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التحصيل.</w:t>
      </w:r>
    </w:p>
    <w:p w14:paraId="7A1ECCF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المسؤولية المهنية.</w:t>
      </w:r>
    </w:p>
    <w:p w14:paraId="0AAA056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السرية.</w:t>
      </w:r>
    </w:p>
    <w:p w14:paraId="379E535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الملكية الفكرية.</w:t>
      </w:r>
    </w:p>
    <w:p w14:paraId="4FF0851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وإدارة الخلافات.</w:t>
      </w:r>
    </w:p>
    <w:p w14:paraId="422A24E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5D5BF4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المادة الحادية والثلاثون: تغير نطاق العمل</w:t>
      </w:r>
    </w:p>
    <w:p w14:paraId="5417EF8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54D7EC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إذا تغير نطاق المشروع بصورة جوهرية، يعاد الاتفاق على الأدوار والأتعاب قبل تنفيذ الأعمال الإضافية متى أمكن.</w:t>
      </w:r>
    </w:p>
    <w:p w14:paraId="7905D64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F7B4B7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80AC54F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الحادي عشر</w:t>
      </w:r>
    </w:p>
    <w:p w14:paraId="30404091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BF9BE7D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تعارض المصالح والسرية</w:t>
      </w:r>
    </w:p>
    <w:p w14:paraId="270D83A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C8040A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الثانية والثلاثون</w:t>
      </w:r>
      <w:r>
        <w:rPr>
          <w:rFonts w:asciiTheme="majorBidi" w:hAnsiTheme="majorBidi" w:cstheme="majorBidi"/>
          <w:sz w:val="28"/>
          <w:szCs w:val="28"/>
          <w:rtl/>
        </w:rPr>
        <w:t>: فحص التعارض قبل الإفصاح</w:t>
      </w:r>
    </w:p>
    <w:p w14:paraId="6F3D669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19493F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يجب ألا يؤدي نظام الإحالات إلى كشف اسم العميل أو تفاصيل القضية بصورة أوسع من اللازم قبل إجراء الفحص المناسب لتعارض المصالح.</w:t>
      </w:r>
    </w:p>
    <w:p w14:paraId="5BFDCCC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2A63B9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ويستخدم – عند الحاجة – وصف محدود للموضوع قبل الإفصاح الكامل.</w:t>
      </w:r>
    </w:p>
    <w:p w14:paraId="2E492AB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7F9331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الثالثة والثلاثون</w:t>
      </w:r>
      <w:r>
        <w:rPr>
          <w:rFonts w:asciiTheme="majorBidi" w:hAnsiTheme="majorBidi" w:cstheme="majorBidi"/>
          <w:sz w:val="28"/>
          <w:szCs w:val="28"/>
          <w:rtl/>
        </w:rPr>
        <w:t>: سرية الإحالة</w:t>
      </w:r>
    </w:p>
    <w:p w14:paraId="3E297CB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8A2CC1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جميع البيانات المتعلقة بالعميل والفرصة والأسعار والاستراتيجية والعروض والمراسلات والمستندات معلومات سرية.</w:t>
      </w:r>
    </w:p>
    <w:p w14:paraId="787BF34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631E19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يجوز استخدامها إلا للغرض الذي تمت مشاركتها من أجله.</w:t>
      </w:r>
    </w:p>
    <w:p w14:paraId="02A800D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235580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الرابعة والثلاثون</w:t>
      </w:r>
      <w:r>
        <w:rPr>
          <w:rFonts w:asciiTheme="majorBidi" w:hAnsiTheme="majorBidi" w:cstheme="majorBidi"/>
          <w:sz w:val="28"/>
          <w:szCs w:val="28"/>
          <w:rtl/>
        </w:rPr>
        <w:t>: الحد الأدنى من المعلومات</w:t>
      </w:r>
    </w:p>
    <w:p w14:paraId="537DE9A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07A24A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يشارك من معلومات العميل إلا القدر اللازم لتقييم الإحالة وتنفيذها، وبعد مراعاة الموافقات والمتطلبات النظامية والمهنية اللازمة.</w:t>
      </w:r>
    </w:p>
    <w:p w14:paraId="08DCDD3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B47DCF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EF42314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الثاني عشر</w:t>
      </w:r>
    </w:p>
    <w:p w14:paraId="36F2972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39D615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حماية البيانات والأصول التجارية</w:t>
      </w:r>
    </w:p>
    <w:p w14:paraId="17AB82C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9C5973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الخامسة والثلاثون</w:t>
      </w:r>
      <w:r>
        <w:rPr>
          <w:rFonts w:asciiTheme="majorBidi" w:hAnsiTheme="majorBidi" w:cstheme="majorBidi"/>
          <w:sz w:val="28"/>
          <w:szCs w:val="28"/>
          <w:rtl/>
        </w:rPr>
        <w:t>: بيانات العملاء</w:t>
      </w:r>
    </w:p>
    <w:p w14:paraId="1C45E66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0A5C33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يجوز اعتبار قاعدة بيانات العملاء موردًا مشتركًا لجميع أعضاء التحالف.</w:t>
      </w:r>
    </w:p>
    <w:p w14:paraId="323E996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68FD36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ويكون الوصول إلى بيانات كل عميل على أساس الحاجة والصلاحية والغرض المحدد.</w:t>
      </w:r>
    </w:p>
    <w:p w14:paraId="76AD8E6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B3CCE8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السادسة والثلاثون</w:t>
      </w:r>
      <w:r>
        <w:rPr>
          <w:rFonts w:asciiTheme="majorBidi" w:hAnsiTheme="majorBidi" w:cstheme="majorBidi"/>
          <w:sz w:val="28"/>
          <w:szCs w:val="28"/>
          <w:rtl/>
        </w:rPr>
        <w:t>: بيانات التحالف</w:t>
      </w:r>
    </w:p>
    <w:p w14:paraId="66CCB57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65B542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تعد قواعد بيانات الإحالات والفرص والتحليلات ومعلومات تطوير الأعمال التي تنشئها الشركة أو التحالف من الأصول التي تخضع لحقوق أصحابها وسياسات استخدامها.</w:t>
      </w:r>
    </w:p>
    <w:p w14:paraId="08B82A8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C44F03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يجوز استخراجها أو إعادة استخدامها خارج أغراض العضوية المصرح بها.</w:t>
      </w:r>
    </w:p>
    <w:p w14:paraId="1BBF252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7927CE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9CD702C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الثالث عشر</w:t>
      </w:r>
    </w:p>
    <w:p w14:paraId="495516C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058E05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جودة الإحالات</w:t>
      </w:r>
    </w:p>
    <w:p w14:paraId="4CA3149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75AAEE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السابعة والثلاثون</w:t>
      </w:r>
      <w:r>
        <w:rPr>
          <w:rFonts w:asciiTheme="majorBidi" w:hAnsiTheme="majorBidi" w:cstheme="majorBidi"/>
          <w:sz w:val="28"/>
          <w:szCs w:val="28"/>
          <w:rtl/>
        </w:rPr>
        <w:t>: مسؤولية المحيل</w:t>
      </w:r>
    </w:p>
    <w:p w14:paraId="5CF525B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3B4CE1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على العضو المحيل ألا يقدم للعميل عضوًا آخر بوصفه قادرًا على العمل دون أساس معقول لذلك.</w:t>
      </w:r>
    </w:p>
    <w:p w14:paraId="0A536F2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DDBC50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ويجب عليه نقل المعلومات الجوهرية اللازمة – في الحدود المسموح بها – بصورة صحيحة وغير مضللة.</w:t>
      </w:r>
    </w:p>
    <w:p w14:paraId="33221DD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EDFB6D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الثامنة والثلاثون</w:t>
      </w:r>
      <w:r>
        <w:rPr>
          <w:rFonts w:asciiTheme="majorBidi" w:hAnsiTheme="majorBidi" w:cstheme="majorBidi"/>
          <w:sz w:val="28"/>
          <w:szCs w:val="28"/>
          <w:rtl/>
        </w:rPr>
        <w:t>: مسؤولية المنفذ</w:t>
      </w:r>
    </w:p>
    <w:p w14:paraId="2775577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BA9BE3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يتحمل العضو المنفذ مسؤولية تقييم قدرته على قبول التكليف.</w:t>
      </w:r>
    </w:p>
    <w:p w14:paraId="19F2DDC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532218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يجوز له قبول العمل إذا لم تتوافر لديه القدرة المهنية أو التشغيلية اللازمة.</w:t>
      </w:r>
    </w:p>
    <w:p w14:paraId="3F3D583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F6F035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التاسعة والثلاثون</w:t>
      </w:r>
      <w:r>
        <w:rPr>
          <w:rFonts w:asciiTheme="majorBidi" w:hAnsiTheme="majorBidi" w:cstheme="majorBidi"/>
          <w:sz w:val="28"/>
          <w:szCs w:val="28"/>
          <w:rtl/>
        </w:rPr>
        <w:t>: تقييم ما بعد الإحالة</w:t>
      </w:r>
    </w:p>
    <w:p w14:paraId="50DFD8A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687536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بعد انتهاء العمل يجوز للتحالف قياس:</w:t>
      </w:r>
    </w:p>
    <w:p w14:paraId="0097CDB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ED8B228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رضا العميل.</w:t>
      </w:r>
    </w:p>
    <w:p w14:paraId="4A377E3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جودة الخدمة.</w:t>
      </w:r>
    </w:p>
    <w:p w14:paraId="4DF1BF5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سرعة الاستجابة.</w:t>
      </w:r>
    </w:p>
    <w:p w14:paraId="4E47179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الالتزام بالميزانية.</w:t>
      </w:r>
    </w:p>
    <w:p w14:paraId="18600C2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الالتزام بالمواعيد.</w:t>
      </w:r>
    </w:p>
    <w:p w14:paraId="37BE7B3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التعاون بين الأعضاء.</w:t>
      </w:r>
    </w:p>
    <w:p w14:paraId="218A11C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والمشكلات والدروس المستفادة.</w:t>
      </w:r>
    </w:p>
    <w:p w14:paraId="4514614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9E3D01B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الرابع عشر</w:t>
      </w:r>
    </w:p>
    <w:p w14:paraId="73B37F4F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828024B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المخالفات</w:t>
      </w:r>
    </w:p>
    <w:p w14:paraId="41ECD62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5E181D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الأربعون</w:t>
      </w:r>
      <w:r>
        <w:rPr>
          <w:rFonts w:asciiTheme="majorBidi" w:hAnsiTheme="majorBidi" w:cstheme="majorBidi"/>
          <w:sz w:val="28"/>
          <w:szCs w:val="28"/>
          <w:rtl/>
        </w:rPr>
        <w:t>: المخالفات الجسيمة</w:t>
      </w:r>
    </w:p>
    <w:p w14:paraId="274015B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08DCED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تعد من المخالفات الجسيمة:</w:t>
      </w:r>
    </w:p>
    <w:p w14:paraId="3B4410C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5E2A679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الالتفاف المتعمد على إحالة موثقة.</w:t>
      </w:r>
    </w:p>
    <w:p w14:paraId="131956E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استغلال بيانات العملاء دون تصريح.</w:t>
      </w:r>
    </w:p>
    <w:p w14:paraId="4E27F24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الإفشاء غير المشروع للمعلومات السرية.</w:t>
      </w:r>
    </w:p>
    <w:p w14:paraId="6D873CA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إخفاء تعارض مصالح جوهري.</w:t>
      </w:r>
    </w:p>
    <w:p w14:paraId="782EB3D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تزوير أو تحريف مصدر الإحالة.</w:t>
      </w:r>
    </w:p>
    <w:p w14:paraId="32B67C4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استغلال اسم التحالف للحصول على عمل بصورة غير مصرح بها.</w:t>
      </w:r>
    </w:p>
    <w:p w14:paraId="1DCB622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أو تحصيل مقابل غير جائز أو غير مفصح عنه.</w:t>
      </w:r>
    </w:p>
    <w:p w14:paraId="1AB05E3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B1A5FE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الحادية والأربعون</w:t>
      </w:r>
      <w:r>
        <w:rPr>
          <w:rFonts w:asciiTheme="majorBidi" w:hAnsiTheme="majorBidi" w:cstheme="majorBidi"/>
          <w:sz w:val="28"/>
          <w:szCs w:val="28"/>
          <w:rtl/>
        </w:rPr>
        <w:t>: الجزاءات</w:t>
      </w:r>
    </w:p>
    <w:p w14:paraId="3DDD320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9D4F09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يجوز بحسب جسامة المخالفة:</w:t>
      </w:r>
    </w:p>
    <w:p w14:paraId="291F881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0B0B44C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التنبيه.</w:t>
      </w:r>
    </w:p>
    <w:p w14:paraId="2601A35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الإنذار.</w:t>
      </w:r>
    </w:p>
    <w:p w14:paraId="27E3673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إلزام العضو باتخاذ إجراء تصحيحي.</w:t>
      </w:r>
    </w:p>
    <w:p w14:paraId="59FB8E6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تعليق استقبال الإحالات.</w:t>
      </w:r>
    </w:p>
    <w:p w14:paraId="22940FE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تعليق مزايا العضوية.</w:t>
      </w:r>
    </w:p>
    <w:p w14:paraId="25336AD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تعليق العضوية.</w:t>
      </w:r>
    </w:p>
    <w:p w14:paraId="4095692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إنهاء العضوية.</w:t>
      </w:r>
    </w:p>
    <w:p w14:paraId="3EEF005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والمطالبة بالتعويض أو الحقوق الأخرى متى توافرت أسبابها النظامية والتعاقدية.</w:t>
      </w:r>
    </w:p>
    <w:p w14:paraId="67A0779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316F3F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4E722A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29930C2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الخامس عشر</w:t>
      </w:r>
    </w:p>
    <w:p w14:paraId="19F02B8A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DC3154A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انتهاء العضوية</w:t>
      </w:r>
    </w:p>
    <w:p w14:paraId="30148EA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FB15D2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الثانية والأربعون</w:t>
      </w:r>
      <w:r>
        <w:rPr>
          <w:rFonts w:asciiTheme="majorBidi" w:hAnsiTheme="majorBidi" w:cstheme="majorBidi"/>
          <w:sz w:val="28"/>
          <w:szCs w:val="28"/>
          <w:rtl/>
        </w:rPr>
        <w:t>: الإحالات القائمة</w:t>
      </w:r>
    </w:p>
    <w:p w14:paraId="7250969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8AEC3E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لا يؤدي انتهاء العضوية إلى إلغاء تلقائي للإحالات أو المشروعات القائمة.</w:t>
      </w:r>
    </w:p>
    <w:p w14:paraId="039E37A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7CAE1F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ويتم استكمالها أو نقلها وفق مصلحة العميل والعقود والأنظمة والاتفاقات ذات العلاقة.</w:t>
      </w:r>
    </w:p>
    <w:p w14:paraId="6D4C36D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FE1D6F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الثالثة والأربعون</w:t>
      </w:r>
      <w:r>
        <w:rPr>
          <w:rFonts w:asciiTheme="majorBidi" w:hAnsiTheme="majorBidi" w:cstheme="majorBidi"/>
          <w:sz w:val="28"/>
          <w:szCs w:val="28"/>
          <w:rtl/>
        </w:rPr>
        <w:t>: الحقوق السابقة</w:t>
      </w:r>
    </w:p>
    <w:p w14:paraId="35FF8B6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794D76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تظل الحقوق والالتزامات التي نشأت بصورة صحيحة قبل انتهاء العضوية قائمة حتى تسويتها.</w:t>
      </w:r>
    </w:p>
    <w:p w14:paraId="1419299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45E750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ويشمل ذلك، بحسب طبيعتها:</w:t>
      </w:r>
    </w:p>
    <w:p w14:paraId="56BB82B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6E220CD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السرية.</w:t>
      </w:r>
    </w:p>
    <w:p w14:paraId="1C112FB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حماية البيانات.</w:t>
      </w:r>
    </w:p>
    <w:p w14:paraId="5A5F5D4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المستحقات المالية.</w:t>
      </w:r>
    </w:p>
    <w:p w14:paraId="1789A38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المشروعات القائمة.</w:t>
      </w:r>
    </w:p>
    <w:p w14:paraId="1652C01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والملكية الفكرية.</w:t>
      </w:r>
    </w:p>
    <w:p w14:paraId="302E0AC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الرابعة والأربعون</w:t>
      </w:r>
      <w:r>
        <w:rPr>
          <w:rFonts w:asciiTheme="majorBidi" w:hAnsiTheme="majorBidi" w:cstheme="majorBidi"/>
          <w:sz w:val="28"/>
          <w:szCs w:val="28"/>
          <w:rtl/>
        </w:rPr>
        <w:t>: إعادة البيانات</w:t>
      </w:r>
    </w:p>
    <w:p w14:paraId="715F28E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AB25A1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عند انتهاء العضوية يلتزم العضو بإعادة أو حذف البيانات والمعلومات التي لا يوجد أساس مشروع للاحتفاظ بها، وفق الأنظمة والسياسات المعتمدة.</w:t>
      </w:r>
    </w:p>
    <w:p w14:paraId="5736717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EAC48B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⸻</w:t>
      </w:r>
    </w:p>
    <w:p w14:paraId="126E3D7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2A38E5C8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السادس عشر</w:t>
      </w:r>
    </w:p>
    <w:p w14:paraId="63D4048B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7BF2EFF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إدارة الخلافات</w:t>
      </w:r>
    </w:p>
    <w:p w14:paraId="5C7AD90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FE5E7E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المادة الخامسة والأربعون</w:t>
      </w:r>
      <w:r>
        <w:rPr>
          <w:rFonts w:asciiTheme="majorBidi" w:hAnsiTheme="majorBidi" w:cstheme="majorBidi"/>
          <w:sz w:val="28"/>
          <w:szCs w:val="28"/>
          <w:rtl/>
        </w:rPr>
        <w:t>: التسوية الداخلية</w:t>
      </w:r>
    </w:p>
    <w:p w14:paraId="61FF098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01E1E5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أي خلاف حول مصدر إحالة أو حق مالي أو علاقة عميل يعرض أولًا على الجهة المختصة بإدارة التحالف.</w:t>
      </w:r>
    </w:p>
    <w:p w14:paraId="6E7EF1A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70A86A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ويقدم كل طرف المستندات والمراسلات المؤيدة لموقفه.</w:t>
      </w:r>
    </w:p>
    <w:p w14:paraId="09DC00B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815579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المادة السادسة والأربعون: لجنة الإحالات وحفظ الحقوق</w:t>
      </w:r>
    </w:p>
    <w:p w14:paraId="45CDD1C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3F6D48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يجوز تشكيل لجنة مختصة تتولى:</w:t>
      </w:r>
    </w:p>
    <w:p w14:paraId="2F433EB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45B3526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تفسير هذه السياسة.</w:t>
      </w:r>
    </w:p>
    <w:p w14:paraId="3A12A90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مراجعة نزاعات الإحالات.</w:t>
      </w:r>
    </w:p>
    <w:p w14:paraId="78EC450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التحقق من مصدر الفرص.</w:t>
      </w:r>
    </w:p>
    <w:p w14:paraId="1B21915D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مراجعة جودة التنفيذ.</w:t>
      </w:r>
    </w:p>
    <w:p w14:paraId="71D252A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واقتراح المعالجة المناسبة.</w:t>
      </w:r>
    </w:p>
    <w:p w14:paraId="32389BF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ولا يمنع ذلك من اللجوء إلى وسائل تسوية المنازعات المقررة في اتفاقية العضوية.</w:t>
      </w:r>
    </w:p>
    <w:p w14:paraId="40C34D6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095871C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36D2E9E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الباب السابع عشر</w:t>
      </w:r>
    </w:p>
    <w:p w14:paraId="5EA2170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B5A20C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نموذج الإحالة الإلكتروني</w:t>
      </w:r>
    </w:p>
    <w:p w14:paraId="1BA8B68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26F4E6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يجب أن يتضمن نموذج كل إحالة – كحد أدنى – البيانات التالية:</w:t>
      </w:r>
    </w:p>
    <w:p w14:paraId="731ECA4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F92B5F2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rtl/>
        </w:rPr>
        <w:t>رقم الإحالة: ____</w:t>
      </w:r>
    </w:p>
    <w:p w14:paraId="3A5B141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تاريخ الإحالة: ____</w:t>
      </w:r>
    </w:p>
    <w:p w14:paraId="531F07C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العضو المحيل: ____</w:t>
      </w:r>
    </w:p>
    <w:p w14:paraId="687A516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العضو المنفذ: ____</w:t>
      </w:r>
    </w:p>
    <w:p w14:paraId="3792D7A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العميل: ____</w:t>
      </w:r>
    </w:p>
    <w:p w14:paraId="1767203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نوع الخدمة: ____</w:t>
      </w:r>
    </w:p>
    <w:p w14:paraId="6A4AD66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وصف مختصر للعمل: ____</w:t>
      </w:r>
    </w:p>
    <w:p w14:paraId="541149F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حالة فحص التعارض: ____</w:t>
      </w:r>
    </w:p>
    <w:p w14:paraId="364FB3A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مالك العلاقة الأصلية: ____</w:t>
      </w:r>
    </w:p>
    <w:p w14:paraId="2AAB80C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مدير العلاقة: ____</w:t>
      </w:r>
    </w:p>
    <w:p w14:paraId="1078493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نطاق العمل: ____</w:t>
      </w:r>
    </w:p>
    <w:p w14:paraId="719D33D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طريقة التعاقد: ____</w:t>
      </w:r>
    </w:p>
    <w:p w14:paraId="36DACB2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الأتعاب: ____</w:t>
      </w:r>
    </w:p>
    <w:p w14:paraId="02B0370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المقابل بين الأطراف – إن وجد وكان جائزًا: ____</w:t>
      </w:r>
    </w:p>
    <w:p w14:paraId="3D3B4F7F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آلية الفوترة: ____</w:t>
      </w:r>
    </w:p>
    <w:p w14:paraId="27659A1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آلية التحصيل: ____</w:t>
      </w:r>
    </w:p>
    <w:p w14:paraId="7FD49AB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الأعمال اللاحقة المشمولة – إن وجدت: ____</w:t>
      </w:r>
    </w:p>
    <w:p w14:paraId="1A3FB007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مدة الحماية المتفق عليها – إن وجدت: ____</w:t>
      </w:r>
    </w:p>
    <w:p w14:paraId="1850BEB5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ملاحظات خاصة بالسرية: ____</w:t>
      </w:r>
    </w:p>
    <w:p w14:paraId="6CB0E82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موافقة العضو المحيل: ____</w:t>
      </w:r>
    </w:p>
    <w:p w14:paraId="59C6845E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موافقة العضو المنفذ: ____</w:t>
      </w:r>
    </w:p>
    <w:p w14:paraId="2FD0FB8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اعتماد إدارة التحالف: ____</w:t>
      </w:r>
    </w:p>
    <w:p w14:paraId="3F04496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5F9432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692B07A">
      <w:pPr>
        <w:pStyle w:val="37"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القاعدة الذهبية للتحالف</w:t>
      </w:r>
    </w:p>
    <w:p w14:paraId="4488E25B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2609313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نحمي العلاقة ولا نمتلك العميل.</w:t>
      </w:r>
    </w:p>
    <w:p w14:paraId="5DF72DD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نحفظ الحق ولا نقيد الاختيار.</w:t>
      </w:r>
    </w:p>
    <w:p w14:paraId="6EA5BD09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نكافئ القيمة ولا نحول الإحالة إلى سمسرة.</w:t>
      </w:r>
    </w:p>
    <w:p w14:paraId="6751E3C0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نتبادل الفرص دون أن نتبادل أسرار العملاء.</w:t>
      </w:r>
    </w:p>
    <w:p w14:paraId="4B9B22BA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ونقدم مصلحة العميل واستقلال المهنة على المصلحة التجارية.</w:t>
      </w:r>
    </w:p>
    <w:p w14:paraId="19901B9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87EC6B8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تحالف الرفاعي وشركاؤه للمحاماة والاستشارات</w:t>
      </w:r>
    </w:p>
    <w:p w14:paraId="429A6566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830CAC1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الثقة تصنع الإحالة… والحوكمة تحفظ الحقوق.</w:t>
      </w:r>
    </w:p>
    <w:p w14:paraId="42DF19A4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615CD192">
      <w:pPr>
        <w:pStyle w:val="37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bookmarkStart w:id="0" w:name="_GoBack"/>
      <w:bookmarkEnd w:id="0"/>
    </w:p>
    <w:p w14:paraId="63253CC6">
      <w:pPr>
        <w:pStyle w:val="37"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>
      <w:pgSz w:w="11906" w:h="16838"/>
      <w:pgMar w:top="1440" w:right="1800" w:bottom="1440" w:left="1800" w:header="708" w:footer="708" w:gutter="0"/>
      <w:cols w:space="708" w:num="1"/>
      <w:bidi/>
      <w:rtlGutter w:val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746"/>
    <w:rsid w:val="00011E02"/>
    <w:rsid w:val="0008466C"/>
    <w:rsid w:val="000B6606"/>
    <w:rsid w:val="001C7628"/>
    <w:rsid w:val="002526E5"/>
    <w:rsid w:val="002710DE"/>
    <w:rsid w:val="002D4BA5"/>
    <w:rsid w:val="00396B73"/>
    <w:rsid w:val="00420C90"/>
    <w:rsid w:val="00440E0D"/>
    <w:rsid w:val="00471911"/>
    <w:rsid w:val="00476392"/>
    <w:rsid w:val="00490616"/>
    <w:rsid w:val="004974C2"/>
    <w:rsid w:val="004B61A0"/>
    <w:rsid w:val="0058696A"/>
    <w:rsid w:val="006155E9"/>
    <w:rsid w:val="00640F7B"/>
    <w:rsid w:val="006D7F70"/>
    <w:rsid w:val="006F3534"/>
    <w:rsid w:val="0076368E"/>
    <w:rsid w:val="007C6F11"/>
    <w:rsid w:val="008A2711"/>
    <w:rsid w:val="00917832"/>
    <w:rsid w:val="009A4BB9"/>
    <w:rsid w:val="00A302D7"/>
    <w:rsid w:val="00A64A2F"/>
    <w:rsid w:val="00AA31EF"/>
    <w:rsid w:val="00AF2CB7"/>
    <w:rsid w:val="00AF3875"/>
    <w:rsid w:val="00B41184"/>
    <w:rsid w:val="00B73ED2"/>
    <w:rsid w:val="00BB56FF"/>
    <w:rsid w:val="00C62FAF"/>
    <w:rsid w:val="00D241D6"/>
    <w:rsid w:val="00D5043C"/>
    <w:rsid w:val="00DF1E4C"/>
    <w:rsid w:val="00DF4CE2"/>
    <w:rsid w:val="00E17746"/>
    <w:rsid w:val="00E773F7"/>
    <w:rsid w:val="00EA32FC"/>
    <w:rsid w:val="00F01124"/>
    <w:rsid w:val="00F012DC"/>
    <w:rsid w:val="00F44F5B"/>
    <w:rsid w:val="173372DC"/>
    <w:rsid w:val="7CA4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bidi/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en-US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caption"/>
    <w:basedOn w:val="1"/>
    <w:next w:val="1"/>
    <w:semiHidden/>
    <w:unhideWhenUsed/>
    <w:qFormat/>
    <w:uiPriority w:val="35"/>
    <w:pPr>
      <w:spacing w:after="200" w:line="240" w:lineRule="auto"/>
    </w:pPr>
    <w:rPr>
      <w:i/>
      <w:iCs/>
      <w:color w:val="44546A" w:themeColor="text2"/>
      <w:sz w:val="18"/>
      <w:szCs w:val="18"/>
      <w14:textFill>
        <w14:solidFill>
          <w14:schemeClr w14:val="tx2"/>
        </w14:solidFill>
      </w14:textFill>
    </w:rPr>
  </w:style>
  <w:style w:type="character" w:styleId="14">
    <w:name w:val="Emphasis"/>
    <w:basedOn w:val="11"/>
    <w:qFormat/>
    <w:uiPriority w:val="20"/>
    <w:rPr>
      <w:i/>
      <w:iCs/>
    </w:rPr>
  </w:style>
  <w:style w:type="character" w:styleId="15">
    <w:name w:val="Strong"/>
    <w:basedOn w:val="11"/>
    <w:qFormat/>
    <w:uiPriority w:val="22"/>
    <w:rPr>
      <w:b/>
      <w:bCs/>
    </w:r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Heading 3 Ch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1">
    <w:name w:val="Heading 4 Ch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2">
    <w:name w:val="Heading 5 Ch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3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itle Char"/>
    <w:basedOn w:val="11"/>
    <w:link w:val="17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itle Char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Quote Char"/>
    <w:basedOn w:val="11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Intense Quote Char"/>
    <w:basedOn w:val="11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Book Title"/>
    <w:basedOn w:val="11"/>
    <w:qFormat/>
    <w:uiPriority w:val="33"/>
    <w:rPr>
      <w:b/>
      <w:bCs/>
      <w:i/>
      <w:iCs/>
      <w:spacing w:val="5"/>
    </w:rPr>
  </w:style>
  <w:style w:type="paragraph" w:styleId="37">
    <w:name w:val="No Spacing"/>
    <w:qFormat/>
    <w:uiPriority w:val="1"/>
    <w:pPr>
      <w:bidi/>
      <w:spacing w:after="0" w:line="240" w:lineRule="auto"/>
    </w:pPr>
    <w:rPr>
      <w:rFonts w:asciiTheme="minorHAnsi" w:hAnsiTheme="minorHAnsi" w:eastAsiaTheme="minorHAnsi" w:cstheme="minorBidi"/>
      <w:kern w:val="2"/>
      <w:sz w:val="24"/>
      <w:szCs w:val="24"/>
      <w:lang w:val="en-US" w:eastAsia="en-US" w:bidi="ar-SA"/>
      <w14:ligatures w14:val="standardContextual"/>
    </w:rPr>
  </w:style>
  <w:style w:type="character" w:customStyle="1" w:styleId="38">
    <w:name w:val="Subtle Emphasis"/>
    <w:basedOn w:val="11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9">
    <w:name w:val="Subtle Reference"/>
    <w:basedOn w:val="11"/>
    <w:qFormat/>
    <w:uiPriority w:val="31"/>
    <w:rPr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customStyle="1" w:styleId="40">
    <w:name w:val="TOC Heading"/>
    <w:basedOn w:val="2"/>
    <w:next w:val="1"/>
    <w:semiHidden/>
    <w:unhideWhenUsed/>
    <w:qFormat/>
    <w:uiPriority w:val="39"/>
    <w:pPr>
      <w:spacing w:before="240" w:after="0"/>
      <w:outlineLvl w:val="9"/>
    </w:pPr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2216</Words>
  <Characters>11476</Characters>
  <Lines>104</Lines>
  <Paragraphs>29</Paragraphs>
  <TotalTime>20</TotalTime>
  <ScaleCrop>false</ScaleCrop>
  <LinksUpToDate>false</LinksUpToDate>
  <CharactersWithSpaces>13368</CharactersWithSpaces>
  <Application>WPS Office_12.1.0.29681_F1E327BC-269C-435d-A152-05C5408002CA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2026-09-03T06:33:00Z</dcterms:created>
  <dc:creator>Bandar Aldowas</dc:creator>
  <cp:lastModifiedBy>VTS Developer 1</cp:lastModifiedBy>
  <dcterms:modified xsi:type="dcterms:W3CDTF">2026-11-07T14:36:23Z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eyJoZGlkIjoiMTE2NTBhNWVkODBmNzY2YTg4MGJmYzcxZGY4NmZlNTkifQ==</vt:lpwstr>
  </property>
  <property fmtid="{D5CDD505-2E9C-101B-9397-08002B2CF9AE}" pid="3" name="KSOProductBuildVer">
    <vt:lpwstr>1033-12.1.0.29681</vt:lpwstr>
  </property>
  <property fmtid="{D5CDD505-2E9C-101B-9397-08002B2CF9AE}" pid="4" name="ICV">
    <vt:lpwstr>F6ACC6C8281C4E8F8278C8B8D5211C24_12</vt:lpwstr>
  </property>
</Properties>
</file>